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rdcrjn" w:id="1"/>
      <w:bookmarkEnd w:id="1"/>
      <w:r w:rsidDel="00000000" w:rsidR="00000000" w:rsidRPr="00000000">
        <w:rPr>
          <w:rFonts w:ascii="Calibri" w:cs="Calibri" w:eastAsia="Calibri" w:hAnsi="Calibri"/>
          <w:rtl w:val="0"/>
        </w:rPr>
        <w:t xml:space="preserve">TERMINATIONS</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 [Organization Name] is committed to conducting all employee terminations fairly and consistently, in compliance with Newfoundland and Labrador’s </w:t>
      </w:r>
      <w:r w:rsidDel="00000000" w:rsidR="00000000" w:rsidRPr="00000000">
        <w:rPr>
          <w:rFonts w:ascii="Calibri" w:cs="Calibri" w:eastAsia="Calibri" w:hAnsi="Calibri"/>
          <w:i w:val="1"/>
          <w:rtl w:val="0"/>
        </w:rPr>
        <w:t xml:space="preserve">Labour Standards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given in Part 10 of the Act:</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"temporary lay-off" means a lay-off of not more than 13 weeks in a period of 20 consecutive weeks; and</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"termination of employment" means a lay-off of a person for a period longer than a temporary lay-off and "terminate" and "notice of termination" have corresponding meanings.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the</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of Newfoundland and Labrador, and the terms set out in an employee’s contract when it comes to ending the employment relationship.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w:t>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Notice of termination must be provided in writing when employees have been employed for three (3) months or more.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of notice to be given by either the employer or employee is based on continuous years of service: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bl>
      <w:tblPr>
        <w:tblStyle w:val="Table1"/>
        <w:tblW w:w="7845.0" w:type="dxa"/>
        <w:jc w:val="left"/>
        <w:tblInd w:w="515.0" w:type="dxa"/>
        <w:tblLayout w:type="fixed"/>
        <w:tblLook w:val="0400"/>
      </w:tblPr>
      <w:tblGrid>
        <w:gridCol w:w="4305"/>
        <w:gridCol w:w="3540"/>
        <w:tblGridChange w:id="0">
          <w:tblGrid>
            <w:gridCol w:w="4305"/>
            <w:gridCol w:w="35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Employee's 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Minimum Period of Written Notice Required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Less than three (3) months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3 months up to 2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one (1) week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2 years but less than 5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two (2)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5 years but less than 10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three (3)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10 years but less than 15 years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four (4)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15 years or more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six (6) weeks</w:t>
            </w:r>
          </w:p>
        </w:tc>
      </w:tr>
    </w:tbl>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The same periods of advance written notice must be provided for any temporary layoff exceeding 1 week.</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Unless both parties agree, the employer shall not require, nor shall the employee take vacation as the notice period.</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Temporary Layoff</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The same periods of advance written notice are required for termination of employment and must be provided for any temporary layoff exceeding 1 week.</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For Cause</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Notice from the employer to the employee is not required when the employee has: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willfully refused to obey a lawful instruction of the employer  </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committed misconduct </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been so neglectful of duty that the interest of the employer is adversely affected  </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breached a material condition of the contract of service that in the opinion of the Director or the Labour Relations Board hearing a complaint, warrants summary dismissal </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employed for a firm non-renewable term or for a specific task where the term or task does not exceed 12 months and termination doesn't occur before the term or task is completed  </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been employed for less than 3 months</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to be laid-off for a period of 1 week or less</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employer pays the equivalent normal wages, including overtime earnings, in lieu of notice (1 to 6 weeks pay, depending on the employee’s length of employment)  </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employer has to terminate an employee’s employment as a result of an unforeseen economic or climatic conditions beyond the foreseeable control of the employer, or as a result of a major breakdown or destruction of plant machinery or equipment </w:t>
      </w:r>
    </w:p>
    <w:p w:rsidR="00000000" w:rsidDel="00000000" w:rsidP="00000000" w:rsidRDefault="00000000" w:rsidRPr="00000000" w14:paraId="0000003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any monies owing within one week of employment being terminated:</w:t>
      </w:r>
    </w:p>
    <w:p w:rsidR="00000000" w:rsidDel="00000000" w:rsidP="00000000" w:rsidRDefault="00000000" w:rsidRPr="00000000" w14:paraId="00000044">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45">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vacation pay owed to the employee</w:t>
      </w:r>
    </w:p>
    <w:p w:rsidR="00000000" w:rsidDel="00000000" w:rsidP="00000000" w:rsidRDefault="00000000" w:rsidRPr="00000000" w14:paraId="00000046">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pay in lieu notice (if required)</w:t>
      </w:r>
    </w:p>
    <w:p w:rsidR="00000000" w:rsidDel="00000000" w:rsidP="00000000" w:rsidRDefault="00000000" w:rsidRPr="00000000" w14:paraId="0000004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provide references upon request. Please speak to [Insert Title] regarding the specifics of this program. </w:t>
      </w:r>
    </w:p>
    <w:p w:rsidR="00000000" w:rsidDel="00000000" w:rsidP="00000000" w:rsidRDefault="00000000" w:rsidRPr="00000000" w14:paraId="0000005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Exit Interviews </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via an exit interview.The information gathered from the exit interview will be used to improve processes within the organization.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XzVl/9dIV6OSDcNlDdgoZ5MqIA==">CgMxLjAyDmguOXFua2RyOWJmYTAxMgloLjNyZGNyam44AHIhMXR6ZlNvSlJIaTdBLTd3dXNuQ21MbURkdlBoMFRXTGVL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